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C22FF" w14:textId="26A83DAF" w:rsidR="006D3CB7" w:rsidRDefault="189A33AE" w:rsidP="4D4B296C">
      <w:pPr>
        <w:rPr>
          <w:rFonts w:ascii="Aptos" w:hAnsi="Aptos"/>
        </w:rPr>
      </w:pPr>
      <w:r>
        <w:rPr>
          <w:noProof/>
        </w:rPr>
        <w:drawing>
          <wp:inline distT="0" distB="0" distL="0" distR="0" wp14:anchorId="6F546B37" wp14:editId="1F531873">
            <wp:extent cx="2178050" cy="462759"/>
            <wp:effectExtent l="0" t="0" r="0" b="0"/>
            <wp:docPr id="463926412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F7280772-8C85-402F-93C4-7E3C17D9C7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92641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552" cy="475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4AF8C" w14:textId="5B0A8296" w:rsidR="004B1A85" w:rsidRPr="004B1A85" w:rsidRDefault="004B1A85" w:rsidP="004B1A85">
      <w:pPr>
        <w:rPr>
          <w:rFonts w:ascii="Aptos" w:hAnsi="Aptos"/>
          <w:b/>
          <w:bCs/>
        </w:rPr>
      </w:pPr>
    </w:p>
    <w:p w14:paraId="73767602" w14:textId="61F148E3" w:rsidR="4A5686E8" w:rsidRDefault="4A5686E8" w:rsidP="4A5686E8">
      <w:pPr>
        <w:rPr>
          <w:rFonts w:ascii="Aptos" w:hAnsi="Aptos"/>
          <w:b/>
          <w:bCs/>
        </w:rPr>
      </w:pPr>
    </w:p>
    <w:p w14:paraId="45F4E7A7" w14:textId="439CFEA8" w:rsidR="006D3CB7" w:rsidRDefault="002B3EC4" w:rsidP="4728B2CC">
      <w:pPr>
        <w:rPr>
          <w:rFonts w:ascii="Arial" w:eastAsia="Arial" w:hAnsi="Arial" w:cs="Arial"/>
          <w:b/>
          <w:bCs/>
        </w:rPr>
      </w:pPr>
      <w:r w:rsidRPr="00767EB2">
        <w:rPr>
          <w:rFonts w:ascii="Arial" w:eastAsia="Arial" w:hAnsi="Arial" w:cs="Arial"/>
          <w:b/>
          <w:bCs/>
        </w:rPr>
        <w:t>FOR IMMEDIATE RELEASE</w:t>
      </w:r>
    </w:p>
    <w:p w14:paraId="78468B61" w14:textId="2BEAE29E" w:rsidR="4A5686E8" w:rsidRDefault="4A5686E8" w:rsidP="4728B2CC">
      <w:pPr>
        <w:rPr>
          <w:rFonts w:ascii="Arial" w:eastAsia="Arial" w:hAnsi="Arial" w:cs="Arial"/>
          <w:b/>
          <w:bCs/>
        </w:rPr>
      </w:pPr>
    </w:p>
    <w:p w14:paraId="5F4D02B8" w14:textId="7355D508" w:rsidR="00767B2B" w:rsidRDefault="00767B2B" w:rsidP="00562611">
      <w:pPr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00767B2B">
        <w:rPr>
          <w:rFonts w:ascii="Arial" w:eastAsia="Arial" w:hAnsi="Arial" w:cs="Arial"/>
          <w:b/>
          <w:bCs/>
          <w:sz w:val="32"/>
          <w:szCs w:val="32"/>
        </w:rPr>
        <w:t>Control Risks to Exhibit at Legalweek 2026, Showcasing Discovery</w:t>
      </w:r>
      <w:r w:rsidR="00F66F51" w:rsidRPr="42848A67">
        <w:rPr>
          <w:rFonts w:ascii="Arial" w:eastAsia="Arial" w:hAnsi="Arial" w:cs="Arial"/>
          <w:b/>
          <w:bCs/>
          <w:sz w:val="32"/>
          <w:szCs w:val="32"/>
        </w:rPr>
        <w:t>+</w:t>
      </w:r>
      <w:r w:rsidRPr="00767B2B">
        <w:rPr>
          <w:rFonts w:ascii="Arial" w:eastAsia="Arial" w:hAnsi="Arial" w:cs="Arial"/>
          <w:b/>
          <w:bCs/>
          <w:sz w:val="32"/>
          <w:szCs w:val="32"/>
        </w:rPr>
        <w:t xml:space="preserve"> Data Insights Capabilities</w:t>
      </w:r>
    </w:p>
    <w:p w14:paraId="6BBD3F8B" w14:textId="77777777" w:rsidR="00767B2B" w:rsidRDefault="00767B2B" w:rsidP="4EB3A9A5">
      <w:pPr>
        <w:spacing w:before="240" w:after="240"/>
        <w:rPr>
          <w:rFonts w:ascii="Arial" w:eastAsia="Arial" w:hAnsi="Arial" w:cs="Arial"/>
          <w:i/>
          <w:iCs/>
        </w:rPr>
      </w:pPr>
    </w:p>
    <w:p w14:paraId="4DE4077E" w14:textId="13A84588" w:rsidR="008B611B" w:rsidRPr="008B611B" w:rsidRDefault="00C6078A" w:rsidP="008B611B">
      <w:pPr>
        <w:spacing w:before="240" w:after="240"/>
        <w:rPr>
          <w:rFonts w:ascii="Arial" w:eastAsia="Arial" w:hAnsi="Arial" w:cs="Arial"/>
        </w:rPr>
      </w:pPr>
      <w:r w:rsidRPr="4EB3A9A5">
        <w:rPr>
          <w:rFonts w:ascii="Arial" w:eastAsia="Arial" w:hAnsi="Arial" w:cs="Arial"/>
        </w:rPr>
        <w:t>NEW YORK,</w:t>
      </w:r>
      <w:r w:rsidR="0608F595" w:rsidRPr="23230AB9">
        <w:rPr>
          <w:rFonts w:ascii="Arial" w:eastAsia="Arial" w:hAnsi="Arial" w:cs="Arial"/>
        </w:rPr>
        <w:t xml:space="preserve"> </w:t>
      </w:r>
      <w:r w:rsidR="00767EB2" w:rsidRPr="00767EB2">
        <w:rPr>
          <w:rFonts w:ascii="Arial" w:eastAsia="Arial" w:hAnsi="Arial" w:cs="Arial"/>
        </w:rPr>
        <w:t>March 2</w:t>
      </w:r>
      <w:r w:rsidR="0608F595" w:rsidRPr="00767EB2">
        <w:rPr>
          <w:rFonts w:ascii="Arial" w:eastAsia="Arial" w:hAnsi="Arial" w:cs="Arial"/>
        </w:rPr>
        <w:t>, 202</w:t>
      </w:r>
      <w:r w:rsidR="00767B2B" w:rsidRPr="00767EB2">
        <w:rPr>
          <w:rFonts w:ascii="Arial" w:eastAsia="Arial" w:hAnsi="Arial" w:cs="Arial"/>
        </w:rPr>
        <w:t>6</w:t>
      </w:r>
      <w:r w:rsidR="0608F595" w:rsidRPr="23230AB9">
        <w:rPr>
          <w:rFonts w:ascii="Arial" w:eastAsia="Arial" w:hAnsi="Arial" w:cs="Arial"/>
        </w:rPr>
        <w:t xml:space="preserve"> — Control Risks, a global leader in investigations,</w:t>
      </w:r>
      <w:r w:rsidR="00282411" w:rsidRPr="23230AB9">
        <w:rPr>
          <w:rFonts w:ascii="Arial" w:eastAsia="Arial" w:hAnsi="Arial" w:cs="Arial"/>
        </w:rPr>
        <w:t xml:space="preserve"> </w:t>
      </w:r>
      <w:r w:rsidR="00585F73" w:rsidRPr="23230AB9">
        <w:rPr>
          <w:rFonts w:ascii="Arial" w:eastAsia="Arial" w:hAnsi="Arial" w:cs="Arial"/>
        </w:rPr>
        <w:t>litigation support, compliance,</w:t>
      </w:r>
      <w:r w:rsidR="003A453B" w:rsidRPr="23230AB9">
        <w:rPr>
          <w:rFonts w:ascii="Arial" w:eastAsia="Arial" w:hAnsi="Arial" w:cs="Arial"/>
        </w:rPr>
        <w:t xml:space="preserve"> cyber</w:t>
      </w:r>
      <w:r w:rsidR="00172263">
        <w:rPr>
          <w:rFonts w:ascii="Arial" w:eastAsia="Arial" w:hAnsi="Arial" w:cs="Arial"/>
        </w:rPr>
        <w:t xml:space="preserve"> </w:t>
      </w:r>
      <w:r w:rsidR="003A453B" w:rsidRPr="23230AB9">
        <w:rPr>
          <w:rFonts w:ascii="Arial" w:eastAsia="Arial" w:hAnsi="Arial" w:cs="Arial"/>
        </w:rPr>
        <w:t>incident response,</w:t>
      </w:r>
      <w:r w:rsidR="00585F73" w:rsidRPr="23230AB9">
        <w:rPr>
          <w:rFonts w:ascii="Arial" w:eastAsia="Arial" w:hAnsi="Arial" w:cs="Arial"/>
        </w:rPr>
        <w:t xml:space="preserve"> </w:t>
      </w:r>
      <w:r w:rsidR="0608F595" w:rsidRPr="23230AB9">
        <w:rPr>
          <w:rFonts w:ascii="Arial" w:eastAsia="Arial" w:hAnsi="Arial" w:cs="Arial"/>
        </w:rPr>
        <w:t xml:space="preserve">eDiscovery and digital forensics services, </w:t>
      </w:r>
      <w:r w:rsidR="008B611B" w:rsidRPr="008B611B">
        <w:rPr>
          <w:rFonts w:ascii="Arial" w:eastAsia="Arial" w:hAnsi="Arial" w:cs="Arial"/>
        </w:rPr>
        <w:t>today announced it will exhibit for the first time at Legalweek</w:t>
      </w:r>
      <w:r w:rsidR="003A53B8">
        <w:rPr>
          <w:rFonts w:ascii="Arial" w:eastAsia="Arial" w:hAnsi="Arial" w:cs="Arial"/>
        </w:rPr>
        <w:t xml:space="preserve"> </w:t>
      </w:r>
      <w:r w:rsidR="00FD5CED">
        <w:rPr>
          <w:rFonts w:ascii="Arial" w:eastAsia="Arial" w:hAnsi="Arial" w:cs="Arial"/>
        </w:rPr>
        <w:t xml:space="preserve">on </w:t>
      </w:r>
      <w:r w:rsidR="007A3A39">
        <w:rPr>
          <w:rFonts w:ascii="Arial" w:eastAsia="Arial" w:hAnsi="Arial" w:cs="Arial"/>
        </w:rPr>
        <w:t>March 9</w:t>
      </w:r>
      <w:r w:rsidR="00FD5CED">
        <w:rPr>
          <w:rFonts w:ascii="Arial" w:eastAsia="Arial" w:hAnsi="Arial" w:cs="Arial"/>
        </w:rPr>
        <w:t>-</w:t>
      </w:r>
      <w:r w:rsidR="007A3A39">
        <w:rPr>
          <w:rFonts w:ascii="Arial" w:eastAsia="Arial" w:hAnsi="Arial" w:cs="Arial"/>
        </w:rPr>
        <w:t>12,</w:t>
      </w:r>
      <w:r w:rsidR="008B611B" w:rsidRPr="008B611B">
        <w:rPr>
          <w:rFonts w:ascii="Arial" w:eastAsia="Arial" w:hAnsi="Arial" w:cs="Arial"/>
        </w:rPr>
        <w:t xml:space="preserve"> 2026</w:t>
      </w:r>
      <w:r w:rsidR="007A3A39">
        <w:rPr>
          <w:rFonts w:ascii="Arial" w:eastAsia="Arial" w:hAnsi="Arial" w:cs="Arial"/>
        </w:rPr>
        <w:t>,</w:t>
      </w:r>
      <w:r w:rsidR="008B611B" w:rsidRPr="008B611B">
        <w:rPr>
          <w:rFonts w:ascii="Arial" w:eastAsia="Arial" w:hAnsi="Arial" w:cs="Arial"/>
        </w:rPr>
        <w:t xml:space="preserve"> in New York, appearing in the exhibit hall at </w:t>
      </w:r>
      <w:r w:rsidR="00653BF1">
        <w:rPr>
          <w:rFonts w:ascii="Arial" w:eastAsia="Arial" w:hAnsi="Arial" w:cs="Arial"/>
        </w:rPr>
        <w:t>meeting space</w:t>
      </w:r>
      <w:r w:rsidR="008B611B" w:rsidRPr="008B611B">
        <w:rPr>
          <w:rFonts w:ascii="Arial" w:eastAsia="Arial" w:hAnsi="Arial" w:cs="Arial"/>
        </w:rPr>
        <w:t xml:space="preserve"> 738.</w:t>
      </w:r>
    </w:p>
    <w:p w14:paraId="400044AA" w14:textId="325CB976" w:rsidR="008B611B" w:rsidRPr="008B611B" w:rsidRDefault="008B611B" w:rsidP="008B611B">
      <w:pPr>
        <w:spacing w:before="240" w:after="240"/>
        <w:rPr>
          <w:rFonts w:ascii="Arial" w:eastAsia="Arial" w:hAnsi="Arial" w:cs="Arial"/>
        </w:rPr>
      </w:pPr>
      <w:r w:rsidRPr="008B611B">
        <w:rPr>
          <w:rFonts w:ascii="Arial" w:eastAsia="Arial" w:hAnsi="Arial" w:cs="Arial"/>
        </w:rPr>
        <w:t xml:space="preserve">Control Risks’ Discovery + Data Insights </w:t>
      </w:r>
      <w:r w:rsidR="003F12AF" w:rsidRPr="42848A67">
        <w:rPr>
          <w:rFonts w:ascii="Arial" w:eastAsia="Arial" w:hAnsi="Arial" w:cs="Arial"/>
        </w:rPr>
        <w:t>practice</w:t>
      </w:r>
      <w:r w:rsidRPr="008B611B">
        <w:rPr>
          <w:rFonts w:ascii="Arial" w:eastAsia="Arial" w:hAnsi="Arial" w:cs="Arial"/>
        </w:rPr>
        <w:t xml:space="preserve"> support</w:t>
      </w:r>
      <w:r w:rsidR="003F12AF">
        <w:rPr>
          <w:rFonts w:ascii="Arial" w:eastAsia="Arial" w:hAnsi="Arial" w:cs="Arial"/>
        </w:rPr>
        <w:t>s</w:t>
      </w:r>
      <w:r w:rsidRPr="008B611B">
        <w:rPr>
          <w:rFonts w:ascii="Arial" w:eastAsia="Arial" w:hAnsi="Arial" w:cs="Arial"/>
        </w:rPr>
        <w:t xml:space="preserve"> law firms and corporate legal departments in matters involving complex data, </w:t>
      </w:r>
      <w:r w:rsidR="006A6DB5" w:rsidRPr="008B611B">
        <w:rPr>
          <w:rFonts w:ascii="Arial" w:eastAsia="Arial" w:hAnsi="Arial" w:cs="Arial"/>
        </w:rPr>
        <w:t>cross</w:t>
      </w:r>
      <w:r w:rsidR="006A6DB5">
        <w:rPr>
          <w:rFonts w:ascii="Arial" w:eastAsia="Arial" w:hAnsi="Arial" w:cs="Arial"/>
        </w:rPr>
        <w:t>-</w:t>
      </w:r>
      <w:r w:rsidRPr="008B611B">
        <w:rPr>
          <w:rFonts w:ascii="Arial" w:eastAsia="Arial" w:hAnsi="Arial" w:cs="Arial"/>
        </w:rPr>
        <w:t xml:space="preserve">border investigations and </w:t>
      </w:r>
      <w:r w:rsidR="00FF3824" w:rsidRPr="008B611B">
        <w:rPr>
          <w:rFonts w:ascii="Arial" w:eastAsia="Arial" w:hAnsi="Arial" w:cs="Arial"/>
        </w:rPr>
        <w:t>high</w:t>
      </w:r>
      <w:r w:rsidR="00FF3824">
        <w:rPr>
          <w:rFonts w:ascii="Arial" w:eastAsia="Arial" w:hAnsi="Arial" w:cs="Arial"/>
        </w:rPr>
        <w:t>-</w:t>
      </w:r>
      <w:r w:rsidRPr="008B611B">
        <w:rPr>
          <w:rFonts w:ascii="Arial" w:eastAsia="Arial" w:hAnsi="Arial" w:cs="Arial"/>
        </w:rPr>
        <w:t xml:space="preserve">stakes disputes. At Legalweek, the firm will highlight its work at the intersection of </w:t>
      </w:r>
      <w:r w:rsidR="0085758E">
        <w:rPr>
          <w:rFonts w:ascii="Arial" w:eastAsia="Arial" w:hAnsi="Arial" w:cs="Arial"/>
        </w:rPr>
        <w:t xml:space="preserve">disputes, </w:t>
      </w:r>
      <w:r w:rsidRPr="008B611B">
        <w:rPr>
          <w:rFonts w:ascii="Arial" w:eastAsia="Arial" w:hAnsi="Arial" w:cs="Arial"/>
        </w:rPr>
        <w:t>investigations,</w:t>
      </w:r>
      <w:r w:rsidR="0085758E">
        <w:rPr>
          <w:rFonts w:ascii="Arial" w:eastAsia="Arial" w:hAnsi="Arial" w:cs="Arial"/>
        </w:rPr>
        <w:t xml:space="preserve"> compliance,</w:t>
      </w:r>
      <w:r w:rsidRPr="008B611B">
        <w:rPr>
          <w:rFonts w:ascii="Arial" w:eastAsia="Arial" w:hAnsi="Arial" w:cs="Arial"/>
        </w:rPr>
        <w:t xml:space="preserve"> eDiscovery, digital forensics,</w:t>
      </w:r>
      <w:r w:rsidR="0085758E">
        <w:rPr>
          <w:rFonts w:ascii="Arial" w:eastAsia="Arial" w:hAnsi="Arial" w:cs="Arial"/>
        </w:rPr>
        <w:t xml:space="preserve"> cyber</w:t>
      </w:r>
      <w:r w:rsidR="00172263">
        <w:rPr>
          <w:rFonts w:ascii="Arial" w:eastAsia="Arial" w:hAnsi="Arial" w:cs="Arial"/>
        </w:rPr>
        <w:t xml:space="preserve"> </w:t>
      </w:r>
      <w:r w:rsidR="0085758E">
        <w:rPr>
          <w:rFonts w:ascii="Arial" w:eastAsia="Arial" w:hAnsi="Arial" w:cs="Arial"/>
        </w:rPr>
        <w:t>incident response</w:t>
      </w:r>
      <w:r w:rsidRPr="008B611B">
        <w:rPr>
          <w:rFonts w:ascii="Arial" w:eastAsia="Arial" w:hAnsi="Arial" w:cs="Arial"/>
        </w:rPr>
        <w:t xml:space="preserve"> and </w:t>
      </w:r>
      <w:r w:rsidR="0085758E">
        <w:rPr>
          <w:rFonts w:ascii="Arial" w:eastAsia="Arial" w:hAnsi="Arial" w:cs="Arial"/>
        </w:rPr>
        <w:t xml:space="preserve">data </w:t>
      </w:r>
      <w:r w:rsidRPr="008B611B">
        <w:rPr>
          <w:rFonts w:ascii="Arial" w:eastAsia="Arial" w:hAnsi="Arial" w:cs="Arial"/>
        </w:rPr>
        <w:t>analytics, with a focus on:</w:t>
      </w:r>
    </w:p>
    <w:p w14:paraId="65570A11" w14:textId="289AD30D" w:rsidR="008B611B" w:rsidRPr="008B611B" w:rsidRDefault="008B611B" w:rsidP="008B611B">
      <w:pPr>
        <w:numPr>
          <w:ilvl w:val="0"/>
          <w:numId w:val="1"/>
        </w:numPr>
        <w:spacing w:before="240" w:after="240"/>
        <w:rPr>
          <w:rFonts w:ascii="Arial" w:eastAsia="Arial" w:hAnsi="Arial" w:cs="Arial"/>
        </w:rPr>
      </w:pPr>
      <w:r w:rsidRPr="008B611B">
        <w:rPr>
          <w:rFonts w:ascii="Arial" w:eastAsia="Arial" w:hAnsi="Arial" w:cs="Arial"/>
        </w:rPr>
        <w:t xml:space="preserve">Modern, defensible collection strategies for Microsoft 365, </w:t>
      </w:r>
      <w:r w:rsidR="003D3923">
        <w:rPr>
          <w:rFonts w:ascii="Arial" w:eastAsia="Arial" w:hAnsi="Arial" w:cs="Arial"/>
        </w:rPr>
        <w:t xml:space="preserve">Google Workspace, </w:t>
      </w:r>
      <w:r w:rsidR="003D3923" w:rsidRPr="42848A67">
        <w:rPr>
          <w:rFonts w:ascii="Arial" w:eastAsia="Arial" w:hAnsi="Arial" w:cs="Arial"/>
        </w:rPr>
        <w:t>Slack</w:t>
      </w:r>
      <w:r w:rsidR="009E7280">
        <w:rPr>
          <w:rFonts w:ascii="Arial" w:eastAsia="Arial" w:hAnsi="Arial" w:cs="Arial"/>
        </w:rPr>
        <w:t xml:space="preserve"> and other cloud collaboration platforms</w:t>
      </w:r>
      <w:r w:rsidRPr="008B611B">
        <w:rPr>
          <w:rFonts w:ascii="Arial" w:eastAsia="Arial" w:hAnsi="Arial" w:cs="Arial"/>
        </w:rPr>
        <w:t xml:space="preserve"> and mobile </w:t>
      </w:r>
      <w:r w:rsidR="009E7280">
        <w:rPr>
          <w:rFonts w:ascii="Arial" w:eastAsia="Arial" w:hAnsi="Arial" w:cs="Arial"/>
        </w:rPr>
        <w:t xml:space="preserve">device </w:t>
      </w:r>
      <w:r w:rsidRPr="008B611B">
        <w:rPr>
          <w:rFonts w:ascii="Arial" w:eastAsia="Arial" w:hAnsi="Arial" w:cs="Arial"/>
        </w:rPr>
        <w:t>data</w:t>
      </w:r>
      <w:r w:rsidR="009E7280">
        <w:rPr>
          <w:rFonts w:ascii="Arial" w:eastAsia="Arial" w:hAnsi="Arial" w:cs="Arial"/>
        </w:rPr>
        <w:t>, including IM, text, chat and third-party ephemeral and encrypted communications</w:t>
      </w:r>
      <w:r w:rsidR="00196368">
        <w:rPr>
          <w:rFonts w:ascii="Arial" w:eastAsia="Arial" w:hAnsi="Arial" w:cs="Arial"/>
        </w:rPr>
        <w:t>.</w:t>
      </w:r>
      <w:r w:rsidR="009E7280">
        <w:rPr>
          <w:rFonts w:ascii="Arial" w:eastAsia="Arial" w:hAnsi="Arial" w:cs="Arial"/>
        </w:rPr>
        <w:t xml:space="preserve"> </w:t>
      </w:r>
    </w:p>
    <w:p w14:paraId="572A25FC" w14:textId="569F65C6" w:rsidR="008B611B" w:rsidRDefault="008B611B" w:rsidP="008B611B">
      <w:pPr>
        <w:numPr>
          <w:ilvl w:val="0"/>
          <w:numId w:val="1"/>
        </w:numPr>
        <w:spacing w:before="240" w:after="240"/>
        <w:rPr>
          <w:rFonts w:ascii="Arial" w:eastAsia="Arial" w:hAnsi="Arial" w:cs="Arial"/>
        </w:rPr>
      </w:pPr>
      <w:r w:rsidRPr="008B611B">
        <w:rPr>
          <w:rFonts w:ascii="Arial" w:eastAsia="Arial" w:hAnsi="Arial" w:cs="Arial"/>
        </w:rPr>
        <w:t>Expert</w:t>
      </w:r>
      <w:r w:rsidR="00BE77E7">
        <w:rPr>
          <w:rFonts w:ascii="Arial" w:eastAsia="Arial" w:hAnsi="Arial" w:cs="Arial"/>
        </w:rPr>
        <w:t>-</w:t>
      </w:r>
      <w:r w:rsidRPr="008B611B">
        <w:rPr>
          <w:rFonts w:ascii="Arial" w:eastAsia="Arial" w:hAnsi="Arial" w:cs="Arial"/>
        </w:rPr>
        <w:t xml:space="preserve">led eDiscovery and early case intelligence that help legal teams move faster and make </w:t>
      </w:r>
      <w:r w:rsidR="00196368" w:rsidRPr="008B611B">
        <w:rPr>
          <w:rFonts w:ascii="Arial" w:eastAsia="Arial" w:hAnsi="Arial" w:cs="Arial"/>
        </w:rPr>
        <w:t>better</w:t>
      </w:r>
      <w:r w:rsidR="00196368">
        <w:rPr>
          <w:rFonts w:ascii="Arial" w:eastAsia="Arial" w:hAnsi="Arial" w:cs="Arial"/>
        </w:rPr>
        <w:t>-</w:t>
      </w:r>
      <w:r w:rsidRPr="008B611B">
        <w:rPr>
          <w:rFonts w:ascii="Arial" w:eastAsia="Arial" w:hAnsi="Arial" w:cs="Arial"/>
        </w:rPr>
        <w:t>informed decisions</w:t>
      </w:r>
      <w:r w:rsidR="00196368">
        <w:rPr>
          <w:rFonts w:ascii="Arial" w:eastAsia="Arial" w:hAnsi="Arial" w:cs="Arial"/>
        </w:rPr>
        <w:t>.</w:t>
      </w:r>
    </w:p>
    <w:p w14:paraId="02D9B8F6" w14:textId="572B7D0E" w:rsidR="00C710E1" w:rsidRPr="008B611B" w:rsidRDefault="00C710E1" w:rsidP="008B611B">
      <w:pPr>
        <w:numPr>
          <w:ilvl w:val="0"/>
          <w:numId w:val="1"/>
        </w:numPr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Global </w:t>
      </w:r>
      <w:r w:rsidR="00196368">
        <w:rPr>
          <w:rFonts w:ascii="Arial" w:eastAsia="Arial" w:hAnsi="Arial" w:cs="Arial"/>
        </w:rPr>
        <w:t xml:space="preserve">managed </w:t>
      </w:r>
      <w:r>
        <w:rPr>
          <w:rFonts w:ascii="Arial" w:eastAsia="Arial" w:hAnsi="Arial" w:cs="Arial"/>
        </w:rPr>
        <w:t xml:space="preserve">eDiscovery </w:t>
      </w:r>
      <w:r w:rsidR="00196368">
        <w:rPr>
          <w:rFonts w:ascii="Arial" w:eastAsia="Arial" w:hAnsi="Arial" w:cs="Arial"/>
        </w:rPr>
        <w:t xml:space="preserve">services </w:t>
      </w:r>
      <w:r>
        <w:rPr>
          <w:rFonts w:ascii="Arial" w:eastAsia="Arial" w:hAnsi="Arial" w:cs="Arial"/>
        </w:rPr>
        <w:t xml:space="preserve">that </w:t>
      </w:r>
      <w:r w:rsidR="00AA2799">
        <w:rPr>
          <w:rFonts w:ascii="Arial" w:eastAsia="Arial" w:hAnsi="Arial" w:cs="Arial"/>
        </w:rPr>
        <w:t>provide</w:t>
      </w:r>
      <w:r w:rsidR="000C0FE9">
        <w:rPr>
          <w:rFonts w:ascii="Arial" w:eastAsia="Arial" w:hAnsi="Arial" w:cs="Arial"/>
        </w:rPr>
        <w:t xml:space="preserve"> multinational corporations with far greater reach, flexibility and litigation and investigative support capabilities than </w:t>
      </w:r>
      <w:r w:rsidR="00D066D7">
        <w:rPr>
          <w:rFonts w:ascii="Arial" w:eastAsia="Arial" w:hAnsi="Arial" w:cs="Arial"/>
        </w:rPr>
        <w:t>traditional eDiscovery providers</w:t>
      </w:r>
      <w:r w:rsidR="00196368">
        <w:rPr>
          <w:rFonts w:ascii="Arial" w:eastAsia="Arial" w:hAnsi="Arial" w:cs="Arial"/>
        </w:rPr>
        <w:t>.</w:t>
      </w:r>
      <w:r w:rsidR="00D066D7">
        <w:rPr>
          <w:rFonts w:ascii="Arial" w:eastAsia="Arial" w:hAnsi="Arial" w:cs="Arial"/>
        </w:rPr>
        <w:t xml:space="preserve"> </w:t>
      </w:r>
    </w:p>
    <w:p w14:paraId="07001F66" w14:textId="78C5213D" w:rsidR="008B611B" w:rsidRPr="008B611B" w:rsidRDefault="008B611B" w:rsidP="008B611B">
      <w:pPr>
        <w:numPr>
          <w:ilvl w:val="0"/>
          <w:numId w:val="1"/>
        </w:numPr>
        <w:spacing w:before="240" w:after="240"/>
        <w:rPr>
          <w:rFonts w:ascii="Arial" w:eastAsia="Arial" w:hAnsi="Arial" w:cs="Arial"/>
        </w:rPr>
      </w:pPr>
      <w:r w:rsidRPr="008B611B">
        <w:rPr>
          <w:rFonts w:ascii="Arial" w:eastAsia="Arial" w:hAnsi="Arial" w:cs="Arial"/>
        </w:rPr>
        <w:t xml:space="preserve">Practical applications of analytics and AI in investigations and </w:t>
      </w:r>
      <w:r w:rsidR="0099358B" w:rsidRPr="42848A67">
        <w:rPr>
          <w:rFonts w:ascii="Arial" w:eastAsia="Arial" w:hAnsi="Arial" w:cs="Arial"/>
        </w:rPr>
        <w:t>compliance</w:t>
      </w:r>
      <w:r w:rsidR="0099358B">
        <w:rPr>
          <w:rFonts w:ascii="Arial" w:eastAsia="Arial" w:hAnsi="Arial" w:cs="Arial"/>
        </w:rPr>
        <w:t xml:space="preserve"> matters</w:t>
      </w:r>
      <w:r w:rsidRPr="008B611B">
        <w:rPr>
          <w:rFonts w:ascii="Arial" w:eastAsia="Arial" w:hAnsi="Arial" w:cs="Arial"/>
        </w:rPr>
        <w:t>, guided by seasoned investigative and subject matter experts</w:t>
      </w:r>
      <w:r w:rsidR="00196368">
        <w:rPr>
          <w:rFonts w:ascii="Arial" w:eastAsia="Arial" w:hAnsi="Arial" w:cs="Arial"/>
        </w:rPr>
        <w:t>.</w:t>
      </w:r>
    </w:p>
    <w:p w14:paraId="2AC14048" w14:textId="647DA7D8" w:rsidR="008B611B" w:rsidRPr="008B611B" w:rsidRDefault="008B611B" w:rsidP="008B611B">
      <w:pPr>
        <w:spacing w:before="240" w:after="240"/>
        <w:rPr>
          <w:rFonts w:ascii="Arial" w:eastAsia="Arial" w:hAnsi="Arial" w:cs="Arial"/>
        </w:rPr>
      </w:pPr>
      <w:r w:rsidRPr="008B611B">
        <w:rPr>
          <w:rFonts w:ascii="Arial" w:eastAsia="Arial" w:hAnsi="Arial" w:cs="Arial"/>
        </w:rPr>
        <w:t xml:space="preserve">“Legalweek brings together many of the clients and partners we work with throughout the year,” </w:t>
      </w:r>
      <w:r w:rsidR="00196368" w:rsidRPr="008B611B">
        <w:rPr>
          <w:rFonts w:ascii="Arial" w:eastAsia="Arial" w:hAnsi="Arial" w:cs="Arial"/>
        </w:rPr>
        <w:t>sa</w:t>
      </w:r>
      <w:r w:rsidR="00196368">
        <w:rPr>
          <w:rFonts w:ascii="Arial" w:eastAsia="Arial" w:hAnsi="Arial" w:cs="Arial"/>
        </w:rPr>
        <w:t>ys</w:t>
      </w:r>
      <w:r w:rsidR="00196368" w:rsidRPr="008B611B">
        <w:rPr>
          <w:rFonts w:ascii="Arial" w:eastAsia="Arial" w:hAnsi="Arial" w:cs="Arial"/>
        </w:rPr>
        <w:t xml:space="preserve"> </w:t>
      </w:r>
      <w:r w:rsidR="00A9402D">
        <w:rPr>
          <w:rFonts w:ascii="Arial" w:eastAsia="Arial" w:hAnsi="Arial" w:cs="Arial"/>
        </w:rPr>
        <w:t xml:space="preserve">Michele Wiener, </w:t>
      </w:r>
      <w:r w:rsidR="00FA600A">
        <w:rPr>
          <w:rFonts w:ascii="Arial" w:eastAsia="Arial" w:hAnsi="Arial" w:cs="Arial"/>
        </w:rPr>
        <w:t>P</w:t>
      </w:r>
      <w:r w:rsidR="00196368">
        <w:rPr>
          <w:rFonts w:ascii="Arial" w:eastAsia="Arial" w:hAnsi="Arial" w:cs="Arial"/>
        </w:rPr>
        <w:t xml:space="preserve">artner </w:t>
      </w:r>
      <w:r w:rsidR="00A9402D">
        <w:rPr>
          <w:rFonts w:ascii="Arial" w:eastAsia="Arial" w:hAnsi="Arial" w:cs="Arial"/>
        </w:rPr>
        <w:t xml:space="preserve">and </w:t>
      </w:r>
      <w:r w:rsidR="00FA600A">
        <w:rPr>
          <w:rFonts w:ascii="Arial" w:eastAsia="Arial" w:hAnsi="Arial" w:cs="Arial"/>
        </w:rPr>
        <w:t>G</w:t>
      </w:r>
      <w:r w:rsidR="00196368">
        <w:rPr>
          <w:rFonts w:ascii="Arial" w:eastAsia="Arial" w:hAnsi="Arial" w:cs="Arial"/>
        </w:rPr>
        <w:t xml:space="preserve">lobal </w:t>
      </w:r>
      <w:r w:rsidR="00FA600A">
        <w:rPr>
          <w:rFonts w:ascii="Arial" w:eastAsia="Arial" w:hAnsi="Arial" w:cs="Arial"/>
        </w:rPr>
        <w:t>H</w:t>
      </w:r>
      <w:r w:rsidR="00196368">
        <w:rPr>
          <w:rFonts w:ascii="Arial" w:eastAsia="Arial" w:hAnsi="Arial" w:cs="Arial"/>
        </w:rPr>
        <w:t xml:space="preserve">ead </w:t>
      </w:r>
      <w:r w:rsidR="00A9402D">
        <w:rPr>
          <w:rFonts w:ascii="Arial" w:eastAsia="Arial" w:hAnsi="Arial" w:cs="Arial"/>
        </w:rPr>
        <w:t xml:space="preserve">of Discovery + Data Insights </w:t>
      </w:r>
      <w:r w:rsidR="00A9402D">
        <w:rPr>
          <w:rFonts w:ascii="Arial" w:eastAsia="Arial" w:hAnsi="Arial" w:cs="Arial"/>
        </w:rPr>
        <w:lastRenderedPageBreak/>
        <w:t>at</w:t>
      </w:r>
      <w:r w:rsidRPr="008B611B">
        <w:rPr>
          <w:rFonts w:ascii="Arial" w:eastAsia="Arial" w:hAnsi="Arial" w:cs="Arial"/>
        </w:rPr>
        <w:t xml:space="preserve"> Control Risks. “Exhibiting at the conference allows us to deepen those conversations and share how we are helping legal teams manage risk, complexity and rapid change in their data landscapes.”</w:t>
      </w:r>
    </w:p>
    <w:p w14:paraId="2AC899D7" w14:textId="2B7D20CF" w:rsidR="72EFF4A9" w:rsidRDefault="008B611B" w:rsidP="72EFF4A9">
      <w:pPr>
        <w:spacing w:before="240" w:after="240"/>
        <w:rPr>
          <w:rFonts w:ascii="Arial" w:eastAsia="Arial" w:hAnsi="Arial" w:cs="Arial"/>
        </w:rPr>
      </w:pPr>
      <w:r w:rsidRPr="008B611B">
        <w:rPr>
          <w:rFonts w:ascii="Arial" w:eastAsia="Arial" w:hAnsi="Arial" w:cs="Arial"/>
        </w:rPr>
        <w:t xml:space="preserve">Control Risks consultants will be available at </w:t>
      </w:r>
      <w:r w:rsidR="00A03CE1">
        <w:rPr>
          <w:rFonts w:ascii="Arial" w:eastAsia="Arial" w:hAnsi="Arial" w:cs="Arial"/>
        </w:rPr>
        <w:t>meeting space</w:t>
      </w:r>
      <w:r w:rsidRPr="008B611B">
        <w:rPr>
          <w:rFonts w:ascii="Arial" w:eastAsia="Arial" w:hAnsi="Arial" w:cs="Arial"/>
        </w:rPr>
        <w:t xml:space="preserve"> 738 throughout the conference to discuss recent case work, emerging trends in investigations and discovery and practical approaches to using technology in a defensible and strategically </w:t>
      </w:r>
      <w:r w:rsidR="00453A53">
        <w:rPr>
          <w:rFonts w:ascii="Arial" w:eastAsia="Arial" w:hAnsi="Arial" w:cs="Arial"/>
        </w:rPr>
        <w:t>impact</w:t>
      </w:r>
      <w:r w:rsidR="00DF6D36">
        <w:rPr>
          <w:rFonts w:ascii="Arial" w:eastAsia="Arial" w:hAnsi="Arial" w:cs="Arial"/>
        </w:rPr>
        <w:t>f</w:t>
      </w:r>
      <w:r w:rsidR="00453A53">
        <w:rPr>
          <w:rFonts w:ascii="Arial" w:eastAsia="Arial" w:hAnsi="Arial" w:cs="Arial"/>
        </w:rPr>
        <w:t>ul</w:t>
      </w:r>
      <w:r w:rsidR="00453A53" w:rsidRPr="008B611B">
        <w:rPr>
          <w:rFonts w:ascii="Arial" w:eastAsia="Arial" w:hAnsi="Arial" w:cs="Arial"/>
        </w:rPr>
        <w:t xml:space="preserve"> </w:t>
      </w:r>
      <w:r w:rsidRPr="008B611B">
        <w:rPr>
          <w:rFonts w:ascii="Arial" w:eastAsia="Arial" w:hAnsi="Arial" w:cs="Arial"/>
        </w:rPr>
        <w:t>way</w:t>
      </w:r>
      <w:r>
        <w:rPr>
          <w:rFonts w:ascii="Arial" w:eastAsia="Arial" w:hAnsi="Arial" w:cs="Arial"/>
        </w:rPr>
        <w:t>.</w:t>
      </w:r>
    </w:p>
    <w:p w14:paraId="2071F8B1" w14:textId="77777777" w:rsidR="008B611B" w:rsidRDefault="008B611B" w:rsidP="4D4B296C">
      <w:pPr>
        <w:rPr>
          <w:rFonts w:ascii="Aptos" w:hAnsi="Aptos"/>
          <w:b/>
          <w:bCs/>
        </w:rPr>
      </w:pPr>
    </w:p>
    <w:p w14:paraId="7F6948C3" w14:textId="6A24CA4E" w:rsidR="006D3CB7" w:rsidRDefault="189A33AE" w:rsidP="4D4B296C">
      <w:pPr>
        <w:rPr>
          <w:rFonts w:ascii="Aptos" w:hAnsi="Aptos"/>
          <w:b/>
          <w:bCs/>
        </w:rPr>
      </w:pPr>
      <w:r w:rsidRPr="4728B2CC">
        <w:rPr>
          <w:rFonts w:ascii="Aptos" w:hAnsi="Aptos"/>
          <w:b/>
          <w:bCs/>
        </w:rPr>
        <w:t>About Control Risks</w:t>
      </w:r>
    </w:p>
    <w:p w14:paraId="0E6ECDBC" w14:textId="334ECC2A" w:rsidR="00453A53" w:rsidRPr="00D45821" w:rsidRDefault="00453A53" w:rsidP="00453A53">
      <w:pPr>
        <w:pStyle w:val="IntroText"/>
        <w:rPr>
          <w:color w:val="000000" w:themeColor="text1"/>
        </w:rPr>
      </w:pPr>
      <w:r w:rsidRPr="00D45821">
        <w:rPr>
          <w:color w:val="000000" w:themeColor="text1"/>
        </w:rPr>
        <w:t xml:space="preserve">Control Risks is a </w:t>
      </w:r>
      <w:r w:rsidR="00A30D84">
        <w:rPr>
          <w:color w:val="000000" w:themeColor="text1"/>
        </w:rPr>
        <w:t xml:space="preserve">global strategic intelligence firm </w:t>
      </w:r>
      <w:r w:rsidRPr="00D45821">
        <w:rPr>
          <w:color w:val="000000" w:themeColor="text1"/>
        </w:rPr>
        <w:t xml:space="preserve">that helps create secure, compliant and resilient organizations. </w:t>
      </w:r>
      <w:r w:rsidR="00B03052">
        <w:rPr>
          <w:color w:val="000000" w:themeColor="text1"/>
        </w:rPr>
        <w:t>Control Risks</w:t>
      </w:r>
      <w:r w:rsidRPr="00D45821">
        <w:rPr>
          <w:color w:val="000000" w:themeColor="text1"/>
        </w:rPr>
        <w:t xml:space="preserve"> leverage</w:t>
      </w:r>
      <w:r w:rsidR="00B03052">
        <w:rPr>
          <w:color w:val="000000" w:themeColor="text1"/>
        </w:rPr>
        <w:t>s</w:t>
      </w:r>
      <w:r w:rsidRPr="00D45821">
        <w:rPr>
          <w:color w:val="000000" w:themeColor="text1"/>
        </w:rPr>
        <w:t xml:space="preserve"> technology and legal industry expertise to help companies and their outside counsel manage and coordinate compliance, litigation and corporate risks, often in multinational and highly complex regulatory and investigatory matters. </w:t>
      </w:r>
      <w:r w:rsidR="00B03052">
        <w:rPr>
          <w:color w:val="000000" w:themeColor="text1"/>
        </w:rPr>
        <w:t>Control Risks’</w:t>
      </w:r>
      <w:r w:rsidRPr="00D45821">
        <w:rPr>
          <w:color w:val="000000" w:themeColor="text1"/>
        </w:rPr>
        <w:t xml:space="preserve"> </w:t>
      </w:r>
      <w:r>
        <w:rPr>
          <w:color w:val="000000" w:themeColor="text1"/>
        </w:rPr>
        <w:t>Discovery + Data Insights</w:t>
      </w:r>
      <w:r w:rsidRPr="00D45821">
        <w:rPr>
          <w:color w:val="000000" w:themeColor="text1"/>
        </w:rPr>
        <w:t xml:space="preserve"> practice provides a comprehensive suite of innovative and cost-effective solutions to a wide range of clients and counsel on forensic, eDiscovery, data analytics, litigation and investigative assignments.</w:t>
      </w:r>
    </w:p>
    <w:p w14:paraId="3EFAA10A" w14:textId="4933B460" w:rsidR="456C1948" w:rsidRDefault="456C1948" w:rsidP="4728B2CC">
      <w:pPr>
        <w:spacing w:line="278" w:lineRule="auto"/>
        <w:rPr>
          <w:rFonts w:ascii="Arial" w:eastAsia="Arial" w:hAnsi="Arial" w:cs="Arial"/>
        </w:rPr>
      </w:pPr>
      <w:r w:rsidRPr="42848A67">
        <w:rPr>
          <w:rFonts w:ascii="Arial" w:eastAsia="Arial" w:hAnsi="Arial" w:cs="Arial"/>
        </w:rPr>
        <w:t xml:space="preserve">For more information, visit </w:t>
      </w:r>
      <w:hyperlink r:id="rId9">
        <w:r w:rsidRPr="4728B2CC">
          <w:rPr>
            <w:rStyle w:val="Hyperlink"/>
            <w:rFonts w:ascii="Arial" w:eastAsia="Arial" w:hAnsi="Arial" w:cs="Arial"/>
            <w:color w:val="0563C1"/>
          </w:rPr>
          <w:t>www.controlrisks.com</w:t>
        </w:r>
      </w:hyperlink>
      <w:r w:rsidRPr="4728B2CC">
        <w:rPr>
          <w:rFonts w:ascii="Arial" w:eastAsia="Arial" w:hAnsi="Arial" w:cs="Arial"/>
        </w:rPr>
        <w:t>.</w:t>
      </w:r>
    </w:p>
    <w:p w14:paraId="65B53A0C" w14:textId="77777777" w:rsidR="00992FE9" w:rsidRDefault="00992FE9" w:rsidP="4D4B296C">
      <w:pPr>
        <w:rPr>
          <w:rFonts w:ascii="Aptos" w:hAnsi="Aptos"/>
          <w:b/>
          <w:bCs/>
        </w:rPr>
      </w:pPr>
    </w:p>
    <w:p w14:paraId="1A2E7BB9" w14:textId="4983F0AF" w:rsidR="006D3CB7" w:rsidRDefault="189A33AE" w:rsidP="4D4B296C">
      <w:pPr>
        <w:rPr>
          <w:rFonts w:ascii="Aptos" w:hAnsi="Aptos"/>
          <w:b/>
          <w:bCs/>
        </w:rPr>
      </w:pPr>
      <w:r w:rsidRPr="4D4B296C">
        <w:rPr>
          <w:rFonts w:ascii="Aptos" w:hAnsi="Aptos"/>
          <w:b/>
          <w:bCs/>
        </w:rPr>
        <w:t>Media Contact:</w:t>
      </w:r>
    </w:p>
    <w:p w14:paraId="09A9DA22" w14:textId="00E0C41A" w:rsidR="006D3CB7" w:rsidRDefault="189A33AE" w:rsidP="4D4B296C">
      <w:pPr>
        <w:rPr>
          <w:rFonts w:ascii="Aptos" w:hAnsi="Aptos"/>
        </w:rPr>
      </w:pPr>
      <w:r w:rsidRPr="4D4B296C">
        <w:rPr>
          <w:rFonts w:ascii="Aptos" w:hAnsi="Aptos"/>
        </w:rPr>
        <w:t xml:space="preserve"> Vicki LaBrosse</w:t>
      </w:r>
    </w:p>
    <w:p w14:paraId="526D8630" w14:textId="32572799" w:rsidR="006D3CB7" w:rsidRDefault="189A33AE" w:rsidP="4D4B296C">
      <w:pPr>
        <w:rPr>
          <w:rFonts w:ascii="Aptos" w:hAnsi="Aptos"/>
        </w:rPr>
      </w:pPr>
      <w:r w:rsidRPr="4D4B296C">
        <w:rPr>
          <w:rFonts w:ascii="Aptos" w:hAnsi="Aptos"/>
        </w:rPr>
        <w:t xml:space="preserve"> Global Director of Public Relations</w:t>
      </w:r>
    </w:p>
    <w:p w14:paraId="6D22F20B" w14:textId="1268E2B8" w:rsidR="006D3CB7" w:rsidRDefault="189A33AE" w:rsidP="4D4B296C">
      <w:pPr>
        <w:rPr>
          <w:rFonts w:ascii="Aptos" w:hAnsi="Aptos"/>
        </w:rPr>
      </w:pPr>
      <w:r w:rsidRPr="4D4B296C">
        <w:rPr>
          <w:rFonts w:ascii="Aptos" w:hAnsi="Aptos"/>
        </w:rPr>
        <w:t xml:space="preserve"> </w:t>
      </w:r>
      <w:hyperlink r:id="rId10">
        <w:r w:rsidRPr="4D4B296C">
          <w:rPr>
            <w:rStyle w:val="Hyperlink"/>
            <w:rFonts w:ascii="Aptos" w:hAnsi="Aptos"/>
          </w:rPr>
          <w:t>vlabrosse@edgemarketinginc.com</w:t>
        </w:r>
      </w:hyperlink>
    </w:p>
    <w:p w14:paraId="56227F55" w14:textId="61D2682A" w:rsidR="006D3CB7" w:rsidRDefault="189A33AE" w:rsidP="4D4B296C">
      <w:pPr>
        <w:rPr>
          <w:rFonts w:ascii="Aptos" w:hAnsi="Aptos"/>
        </w:rPr>
      </w:pPr>
      <w:r w:rsidRPr="4D4B296C">
        <w:rPr>
          <w:rFonts w:ascii="Aptos" w:hAnsi="Aptos"/>
        </w:rPr>
        <w:t xml:space="preserve"> P: 651.528.9445</w:t>
      </w:r>
    </w:p>
    <w:p w14:paraId="7856CFD5" w14:textId="764BD4E4" w:rsidR="006D3CB7" w:rsidRDefault="006D3CB7" w:rsidP="4D4B296C">
      <w:pPr>
        <w:rPr>
          <w:rFonts w:ascii="Aptos" w:hAnsi="Aptos"/>
        </w:rPr>
      </w:pPr>
    </w:p>
    <w:p w14:paraId="2C078E63" w14:textId="2D65CCCF" w:rsidR="006D3CB7" w:rsidRDefault="006D3CB7"/>
    <w:sectPr w:rsidR="006D3C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86DF8"/>
    <w:multiLevelType w:val="hybridMultilevel"/>
    <w:tmpl w:val="FFFFFFFF"/>
    <w:lvl w:ilvl="0" w:tplc="0C207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DC1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46A3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8A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946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289D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E2E1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6832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0CC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89D8D"/>
    <w:multiLevelType w:val="hybridMultilevel"/>
    <w:tmpl w:val="D856FFC0"/>
    <w:lvl w:ilvl="0" w:tplc="0AA235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9E2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7C87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CEF8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2061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16D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A04C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FE7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FC02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FA5182"/>
    <w:multiLevelType w:val="multilevel"/>
    <w:tmpl w:val="7FA0A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64833670">
    <w:abstractNumId w:val="2"/>
  </w:num>
  <w:num w:numId="2" w16cid:durableId="617374631">
    <w:abstractNumId w:val="1"/>
  </w:num>
  <w:num w:numId="3" w16cid:durableId="86467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91F49B"/>
    <w:rsid w:val="00017BFE"/>
    <w:rsid w:val="00042097"/>
    <w:rsid w:val="00047B87"/>
    <w:rsid w:val="00062B19"/>
    <w:rsid w:val="00066EA0"/>
    <w:rsid w:val="000752BC"/>
    <w:rsid w:val="00075AD6"/>
    <w:rsid w:val="00076FA7"/>
    <w:rsid w:val="000A084B"/>
    <w:rsid w:val="000A4010"/>
    <w:rsid w:val="000B53C1"/>
    <w:rsid w:val="000B6687"/>
    <w:rsid w:val="000C0FE9"/>
    <w:rsid w:val="000D2898"/>
    <w:rsid w:val="000E78AB"/>
    <w:rsid w:val="0010642B"/>
    <w:rsid w:val="001115ED"/>
    <w:rsid w:val="00112732"/>
    <w:rsid w:val="001156A0"/>
    <w:rsid w:val="00123E64"/>
    <w:rsid w:val="0014599A"/>
    <w:rsid w:val="0014793F"/>
    <w:rsid w:val="00151B0D"/>
    <w:rsid w:val="00153477"/>
    <w:rsid w:val="00163890"/>
    <w:rsid w:val="00163A47"/>
    <w:rsid w:val="00172259"/>
    <w:rsid w:val="00172263"/>
    <w:rsid w:val="00187BAD"/>
    <w:rsid w:val="001922E0"/>
    <w:rsid w:val="00196368"/>
    <w:rsid w:val="001A57AE"/>
    <w:rsid w:val="001C0B24"/>
    <w:rsid w:val="001D13C1"/>
    <w:rsid w:val="001D64AF"/>
    <w:rsid w:val="00206D2F"/>
    <w:rsid w:val="00225E16"/>
    <w:rsid w:val="00243E4C"/>
    <w:rsid w:val="0026452D"/>
    <w:rsid w:val="002663C0"/>
    <w:rsid w:val="0027337A"/>
    <w:rsid w:val="0027520E"/>
    <w:rsid w:val="00281066"/>
    <w:rsid w:val="00282411"/>
    <w:rsid w:val="002A6993"/>
    <w:rsid w:val="002B0B55"/>
    <w:rsid w:val="002B3212"/>
    <w:rsid w:val="002B3EC4"/>
    <w:rsid w:val="002D2994"/>
    <w:rsid w:val="002D32E3"/>
    <w:rsid w:val="002D5E2A"/>
    <w:rsid w:val="002D7CB4"/>
    <w:rsid w:val="002F1EDD"/>
    <w:rsid w:val="002F7080"/>
    <w:rsid w:val="00330E89"/>
    <w:rsid w:val="00363996"/>
    <w:rsid w:val="003652EC"/>
    <w:rsid w:val="00366E9A"/>
    <w:rsid w:val="00374ABD"/>
    <w:rsid w:val="00376A57"/>
    <w:rsid w:val="00381774"/>
    <w:rsid w:val="00385380"/>
    <w:rsid w:val="003A13BE"/>
    <w:rsid w:val="003A2781"/>
    <w:rsid w:val="003A453B"/>
    <w:rsid w:val="003A4971"/>
    <w:rsid w:val="003A53B8"/>
    <w:rsid w:val="003B297E"/>
    <w:rsid w:val="003C559C"/>
    <w:rsid w:val="003D25D7"/>
    <w:rsid w:val="003D3923"/>
    <w:rsid w:val="003F12AF"/>
    <w:rsid w:val="003F3691"/>
    <w:rsid w:val="00401BFC"/>
    <w:rsid w:val="00414280"/>
    <w:rsid w:val="00415190"/>
    <w:rsid w:val="0043191C"/>
    <w:rsid w:val="0044316C"/>
    <w:rsid w:val="00445376"/>
    <w:rsid w:val="00451E7F"/>
    <w:rsid w:val="00453A53"/>
    <w:rsid w:val="0048395C"/>
    <w:rsid w:val="00490641"/>
    <w:rsid w:val="00491497"/>
    <w:rsid w:val="004927C8"/>
    <w:rsid w:val="004A3460"/>
    <w:rsid w:val="004B00F0"/>
    <w:rsid w:val="004B1403"/>
    <w:rsid w:val="004B1A85"/>
    <w:rsid w:val="004C4185"/>
    <w:rsid w:val="005037F9"/>
    <w:rsid w:val="00510729"/>
    <w:rsid w:val="005176B1"/>
    <w:rsid w:val="005244F3"/>
    <w:rsid w:val="00541101"/>
    <w:rsid w:val="005433A4"/>
    <w:rsid w:val="00552E4F"/>
    <w:rsid w:val="00562611"/>
    <w:rsid w:val="00563C13"/>
    <w:rsid w:val="00580222"/>
    <w:rsid w:val="00581623"/>
    <w:rsid w:val="00585F73"/>
    <w:rsid w:val="005868D6"/>
    <w:rsid w:val="00594DEB"/>
    <w:rsid w:val="00596D9F"/>
    <w:rsid w:val="005A4FCE"/>
    <w:rsid w:val="005A7025"/>
    <w:rsid w:val="005B6191"/>
    <w:rsid w:val="005D2554"/>
    <w:rsid w:val="005D2DFE"/>
    <w:rsid w:val="005E3708"/>
    <w:rsid w:val="00627968"/>
    <w:rsid w:val="00627B18"/>
    <w:rsid w:val="0063670F"/>
    <w:rsid w:val="00640584"/>
    <w:rsid w:val="00652B7C"/>
    <w:rsid w:val="00653BF1"/>
    <w:rsid w:val="00664630"/>
    <w:rsid w:val="00685B6E"/>
    <w:rsid w:val="006867F3"/>
    <w:rsid w:val="00690044"/>
    <w:rsid w:val="00696CC0"/>
    <w:rsid w:val="006A0731"/>
    <w:rsid w:val="006A6DB5"/>
    <w:rsid w:val="006B6CB9"/>
    <w:rsid w:val="006D00F9"/>
    <w:rsid w:val="006D22F0"/>
    <w:rsid w:val="006D3CB7"/>
    <w:rsid w:val="007044EA"/>
    <w:rsid w:val="00704B73"/>
    <w:rsid w:val="00732AA9"/>
    <w:rsid w:val="00760C83"/>
    <w:rsid w:val="00767B2B"/>
    <w:rsid w:val="00767EB2"/>
    <w:rsid w:val="00770C37"/>
    <w:rsid w:val="00776A17"/>
    <w:rsid w:val="00796F9C"/>
    <w:rsid w:val="007A1958"/>
    <w:rsid w:val="007A1E46"/>
    <w:rsid w:val="007A3A39"/>
    <w:rsid w:val="007A6F08"/>
    <w:rsid w:val="0085758E"/>
    <w:rsid w:val="008617AB"/>
    <w:rsid w:val="0086793D"/>
    <w:rsid w:val="00867E1D"/>
    <w:rsid w:val="00886555"/>
    <w:rsid w:val="008948B3"/>
    <w:rsid w:val="008B1794"/>
    <w:rsid w:val="008B4D8E"/>
    <w:rsid w:val="008B611B"/>
    <w:rsid w:val="008C4AAD"/>
    <w:rsid w:val="00903EE7"/>
    <w:rsid w:val="00907A20"/>
    <w:rsid w:val="00922197"/>
    <w:rsid w:val="00927E33"/>
    <w:rsid w:val="00943952"/>
    <w:rsid w:val="009519B1"/>
    <w:rsid w:val="00992FE9"/>
    <w:rsid w:val="0099358B"/>
    <w:rsid w:val="009C0327"/>
    <w:rsid w:val="009D25E9"/>
    <w:rsid w:val="009D2604"/>
    <w:rsid w:val="009D261F"/>
    <w:rsid w:val="009E7280"/>
    <w:rsid w:val="009F2CA8"/>
    <w:rsid w:val="00A03CE1"/>
    <w:rsid w:val="00A30D84"/>
    <w:rsid w:val="00A36AA9"/>
    <w:rsid w:val="00A476AF"/>
    <w:rsid w:val="00A762D4"/>
    <w:rsid w:val="00A9402D"/>
    <w:rsid w:val="00AA2799"/>
    <w:rsid w:val="00AA4F50"/>
    <w:rsid w:val="00AB1958"/>
    <w:rsid w:val="00AB29F9"/>
    <w:rsid w:val="00AB51A5"/>
    <w:rsid w:val="00AC1BB4"/>
    <w:rsid w:val="00AC5923"/>
    <w:rsid w:val="00B00B91"/>
    <w:rsid w:val="00B03052"/>
    <w:rsid w:val="00B1607E"/>
    <w:rsid w:val="00B2007A"/>
    <w:rsid w:val="00B263C4"/>
    <w:rsid w:val="00B26BEB"/>
    <w:rsid w:val="00B4326B"/>
    <w:rsid w:val="00B449E0"/>
    <w:rsid w:val="00B643A7"/>
    <w:rsid w:val="00B724BE"/>
    <w:rsid w:val="00BA6C3C"/>
    <w:rsid w:val="00BD70F8"/>
    <w:rsid w:val="00BE3296"/>
    <w:rsid w:val="00BE513A"/>
    <w:rsid w:val="00BE6DD7"/>
    <w:rsid w:val="00BE76AF"/>
    <w:rsid w:val="00BE77E7"/>
    <w:rsid w:val="00BF5A8C"/>
    <w:rsid w:val="00C04203"/>
    <w:rsid w:val="00C054C0"/>
    <w:rsid w:val="00C53297"/>
    <w:rsid w:val="00C57BA9"/>
    <w:rsid w:val="00C6078A"/>
    <w:rsid w:val="00C710E1"/>
    <w:rsid w:val="00C72B56"/>
    <w:rsid w:val="00C76659"/>
    <w:rsid w:val="00CA0374"/>
    <w:rsid w:val="00CB720A"/>
    <w:rsid w:val="00CC5A54"/>
    <w:rsid w:val="00CC6EAA"/>
    <w:rsid w:val="00CF4D46"/>
    <w:rsid w:val="00D05700"/>
    <w:rsid w:val="00D066D7"/>
    <w:rsid w:val="00D2251C"/>
    <w:rsid w:val="00D55C63"/>
    <w:rsid w:val="00D60B83"/>
    <w:rsid w:val="00D80BB8"/>
    <w:rsid w:val="00DA1379"/>
    <w:rsid w:val="00DB46B8"/>
    <w:rsid w:val="00DC3126"/>
    <w:rsid w:val="00DE1ECE"/>
    <w:rsid w:val="00DE3165"/>
    <w:rsid w:val="00DE33E3"/>
    <w:rsid w:val="00DF66F9"/>
    <w:rsid w:val="00DF6D36"/>
    <w:rsid w:val="00DF6FC2"/>
    <w:rsid w:val="00E01EDF"/>
    <w:rsid w:val="00E063F6"/>
    <w:rsid w:val="00E100E0"/>
    <w:rsid w:val="00E26429"/>
    <w:rsid w:val="00E3502D"/>
    <w:rsid w:val="00E443A4"/>
    <w:rsid w:val="00E60A82"/>
    <w:rsid w:val="00E75571"/>
    <w:rsid w:val="00E86D3C"/>
    <w:rsid w:val="00EA47B3"/>
    <w:rsid w:val="00EA5563"/>
    <w:rsid w:val="00EB163D"/>
    <w:rsid w:val="00EB4E39"/>
    <w:rsid w:val="00EB5DB8"/>
    <w:rsid w:val="00EC097A"/>
    <w:rsid w:val="00EC19E2"/>
    <w:rsid w:val="00ED2D4D"/>
    <w:rsid w:val="00EF6B1E"/>
    <w:rsid w:val="00F05C4E"/>
    <w:rsid w:val="00F06036"/>
    <w:rsid w:val="00F12B53"/>
    <w:rsid w:val="00F1342D"/>
    <w:rsid w:val="00F233DF"/>
    <w:rsid w:val="00F23CBB"/>
    <w:rsid w:val="00F35658"/>
    <w:rsid w:val="00F46623"/>
    <w:rsid w:val="00F55C40"/>
    <w:rsid w:val="00F57871"/>
    <w:rsid w:val="00F60349"/>
    <w:rsid w:val="00F623C7"/>
    <w:rsid w:val="00F66F51"/>
    <w:rsid w:val="00F778B5"/>
    <w:rsid w:val="00F83674"/>
    <w:rsid w:val="00FA0C0E"/>
    <w:rsid w:val="00FA600A"/>
    <w:rsid w:val="00FB3237"/>
    <w:rsid w:val="00FC67B4"/>
    <w:rsid w:val="00FD5CED"/>
    <w:rsid w:val="00FE3DD2"/>
    <w:rsid w:val="00FF3824"/>
    <w:rsid w:val="042709C5"/>
    <w:rsid w:val="04282510"/>
    <w:rsid w:val="04FF3D99"/>
    <w:rsid w:val="0608F595"/>
    <w:rsid w:val="0690ADDC"/>
    <w:rsid w:val="092CC779"/>
    <w:rsid w:val="09C92732"/>
    <w:rsid w:val="0B4F7101"/>
    <w:rsid w:val="0E2632AA"/>
    <w:rsid w:val="111BBFCB"/>
    <w:rsid w:val="1517F95B"/>
    <w:rsid w:val="17433158"/>
    <w:rsid w:val="189A33AE"/>
    <w:rsid w:val="206D07A5"/>
    <w:rsid w:val="22BAD7B7"/>
    <w:rsid w:val="23230AB9"/>
    <w:rsid w:val="2591F49B"/>
    <w:rsid w:val="26FF26BF"/>
    <w:rsid w:val="2802F01D"/>
    <w:rsid w:val="2B5998F1"/>
    <w:rsid w:val="30E9E9BA"/>
    <w:rsid w:val="31E34949"/>
    <w:rsid w:val="32018B7B"/>
    <w:rsid w:val="35F13033"/>
    <w:rsid w:val="37C7726E"/>
    <w:rsid w:val="383B2240"/>
    <w:rsid w:val="3932F1CC"/>
    <w:rsid w:val="3BDC2D23"/>
    <w:rsid w:val="3CC9814F"/>
    <w:rsid w:val="3EC9B9B0"/>
    <w:rsid w:val="4135CF39"/>
    <w:rsid w:val="41A2D8A8"/>
    <w:rsid w:val="42848A67"/>
    <w:rsid w:val="44B544D9"/>
    <w:rsid w:val="456C1948"/>
    <w:rsid w:val="4728B2CC"/>
    <w:rsid w:val="4A5686E8"/>
    <w:rsid w:val="4B5AD2AD"/>
    <w:rsid w:val="4D4B296C"/>
    <w:rsid w:val="4EB3A9A5"/>
    <w:rsid w:val="511393D3"/>
    <w:rsid w:val="596D262F"/>
    <w:rsid w:val="5AE89F36"/>
    <w:rsid w:val="5FB6E83A"/>
    <w:rsid w:val="6132C5A7"/>
    <w:rsid w:val="622F39B0"/>
    <w:rsid w:val="6596830E"/>
    <w:rsid w:val="72EFF4A9"/>
    <w:rsid w:val="754E73A2"/>
    <w:rsid w:val="77289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91F49B"/>
  <w15:chartTrackingRefBased/>
  <w15:docId w15:val="{6C06E9A2-64F8-446D-BD1C-452E8AD1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4D4B296C"/>
    <w:rPr>
      <w:color w:val="467886"/>
      <w:u w:val="single"/>
    </w:rPr>
  </w:style>
  <w:style w:type="paragraph" w:styleId="Revision">
    <w:name w:val="Revision"/>
    <w:hidden/>
    <w:uiPriority w:val="99"/>
    <w:semiHidden/>
    <w:rsid w:val="00C5329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F5A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5A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5A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A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A8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3EC9B9B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23E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B1A85"/>
    <w:rPr>
      <w:rFonts w:ascii="Times New Roman" w:hAnsi="Times New Roman" w:cs="Times New Roman"/>
    </w:rPr>
  </w:style>
  <w:style w:type="paragraph" w:customStyle="1" w:styleId="IntroText">
    <w:name w:val="~IntroText"/>
    <w:basedOn w:val="Normal"/>
    <w:next w:val="Normal"/>
    <w:uiPriority w:val="2"/>
    <w:qFormat/>
    <w:rsid w:val="00453A53"/>
    <w:pPr>
      <w:spacing w:before="120" w:after="0" w:line="276" w:lineRule="auto"/>
    </w:pPr>
    <w:rPr>
      <w:color w:val="156082" w:themeColor="accent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vlabrosse@edgemarketinginc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controlrisk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555AEA203F444862475F65D5A42B6" ma:contentTypeVersion="12" ma:contentTypeDescription="Create a new document." ma:contentTypeScope="" ma:versionID="1c92fcc3f6a111aa3a6dd409d1741a7d">
  <xsd:schema xmlns:xsd="http://www.w3.org/2001/XMLSchema" xmlns:xs="http://www.w3.org/2001/XMLSchema" xmlns:p="http://schemas.microsoft.com/office/2006/metadata/properties" xmlns:ns2="b2d4dfa5-394a-4f98-b8c4-6039721f99de" xmlns:ns3="a0d10487-ac6d-4a56-bfce-8cd42f021237" targetNamespace="http://schemas.microsoft.com/office/2006/metadata/properties" ma:root="true" ma:fieldsID="0e6695fb8c4a1be1659123922a61181f" ns2:_="" ns3:_="">
    <xsd:import namespace="b2d4dfa5-394a-4f98-b8c4-6039721f99de"/>
    <xsd:import namespace="a0d10487-ac6d-4a56-bfce-8cd42f0212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4dfa5-394a-4f98-b8c4-6039721f9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816dd79-8a91-4688-910f-c07a892a3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10487-ac6d-4a56-bfce-8cd42f0212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460cc5-593d-49ab-a89d-9c4a4da9481a}" ma:internalName="TaxCatchAll" ma:showField="CatchAllData" ma:web="a0d10487-ac6d-4a56-bfce-8cd42f0212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d10487-ac6d-4a56-bfce-8cd42f021237" xsi:nil="true"/>
    <lcf76f155ced4ddcb4097134ff3c332f xmlns="b2d4dfa5-394a-4f98-b8c4-6039721f99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EAD06-7A51-408D-A438-A5B239488D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8E89FD-0A65-493B-AF95-FF273B4D6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d4dfa5-394a-4f98-b8c4-6039721f99de"/>
    <ds:schemaRef ds:uri="a0d10487-ac6d-4a56-bfce-8cd42f0212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E67244-5B5B-4258-94BE-276100CEB331}">
  <ds:schemaRefs>
    <ds:schemaRef ds:uri="http://schemas.microsoft.com/office/2006/metadata/properties"/>
    <ds:schemaRef ds:uri="http://schemas.microsoft.com/office/infopath/2007/PartnerControls"/>
    <ds:schemaRef ds:uri="a0d10487-ac6d-4a56-bfce-8cd42f021237"/>
    <ds:schemaRef ds:uri="b2d4dfa5-394a-4f98-b8c4-6039721f99de"/>
  </ds:schemaRefs>
</ds:datastoreItem>
</file>

<file path=docMetadata/LabelInfo.xml><?xml version="1.0" encoding="utf-8"?>
<clbl:labelList xmlns:clbl="http://schemas.microsoft.com/office/2020/mipLabelMetadata">
  <clbl:label id="{86e23165-d923-4ef0-ae5f-fd5f4d5ec307}" enabled="1" method="Standard" siteId="{eeb14196-63dc-45aa-ac42-0a4583b1259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Juers</dc:creator>
  <cp:keywords/>
  <dc:description/>
  <cp:lastModifiedBy>Cindy Moen</cp:lastModifiedBy>
  <cp:revision>5</cp:revision>
  <dcterms:created xsi:type="dcterms:W3CDTF">2026-02-27T16:56:00Z</dcterms:created>
  <dcterms:modified xsi:type="dcterms:W3CDTF">2026-02-27T17:44:00Z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0x01010062A555AEA203F444862475F65D5A42B6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GrammarlyDocumentId">
    <vt:lpwstr>b0206f74-2f89-434a-9216-6130fffe3567</vt:lpwstr>
  </property>
</Properties>
</file>